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8B5AF0" w14:textId="77777777" w:rsidR="007C4C86" w:rsidRPr="007C4C86" w:rsidRDefault="007C4C86" w:rsidP="007C4C86">
      <w:pPr>
        <w:shd w:val="clear" w:color="auto" w:fill="FFFFFF"/>
        <w:spacing w:after="0" w:line="570" w:lineRule="atLeast"/>
        <w:textAlignment w:val="baseline"/>
        <w:outlineLvl w:val="1"/>
        <w:rPr>
          <w:rFonts w:asciiTheme="majorHAnsi" w:eastAsia="Times New Roman" w:hAnsiTheme="majorHAnsi" w:cstheme="majorHAnsi"/>
          <w:color w:val="242933"/>
          <w:kern w:val="0"/>
          <w:sz w:val="42"/>
          <w:szCs w:val="42"/>
          <w:lang w:eastAsia="it-IT"/>
          <w14:ligatures w14:val="none"/>
        </w:rPr>
      </w:pPr>
      <w:r w:rsidRPr="007C4C86">
        <w:rPr>
          <w:rFonts w:asciiTheme="majorHAnsi" w:eastAsia="Times New Roman" w:hAnsiTheme="majorHAnsi" w:cstheme="majorHAnsi"/>
          <w:b/>
          <w:bCs/>
          <w:color w:val="0000FF"/>
          <w:kern w:val="0"/>
          <w:sz w:val="42"/>
          <w:szCs w:val="42"/>
          <w:bdr w:val="none" w:sz="0" w:space="0" w:color="auto" w:frame="1"/>
          <w:lang w:eastAsia="it-IT"/>
          <w14:ligatures w14:val="none"/>
        </w:rPr>
        <w:t>Competenze STEM e multilinguistiche nelle scuole paritarie non commerciali (D.M. 65/2023</w:t>
      </w:r>
      <w:r w:rsidRPr="007C4C86">
        <w:rPr>
          <w:rFonts w:asciiTheme="majorHAnsi" w:eastAsia="Times New Roman" w:hAnsiTheme="majorHAnsi" w:cstheme="majorHAnsi"/>
          <w:b/>
          <w:bCs/>
          <w:color w:val="242933"/>
          <w:kern w:val="0"/>
          <w:sz w:val="42"/>
          <w:szCs w:val="42"/>
          <w:bdr w:val="none" w:sz="0" w:space="0" w:color="auto" w:frame="1"/>
          <w:lang w:eastAsia="it-IT"/>
          <w14:ligatures w14:val="none"/>
        </w:rPr>
        <w:t>)</w:t>
      </w:r>
    </w:p>
    <w:p w14:paraId="0252B03F" w14:textId="4442A729" w:rsidR="007C4C86" w:rsidRPr="007C4C86" w:rsidRDefault="007C4C86" w:rsidP="007C4C86">
      <w:pPr>
        <w:shd w:val="clear" w:color="auto" w:fill="FFFFFF"/>
        <w:spacing w:after="0" w:line="360" w:lineRule="atLeast"/>
        <w:textAlignment w:val="baseline"/>
        <w:rPr>
          <w:rFonts w:asciiTheme="majorHAnsi" w:eastAsia="Times New Roman" w:hAnsiTheme="majorHAnsi" w:cstheme="majorHAnsi"/>
          <w:color w:val="242933"/>
          <w:kern w:val="0"/>
          <w:sz w:val="24"/>
          <w:szCs w:val="24"/>
          <w:lang w:eastAsia="it-IT"/>
          <w14:ligatures w14:val="none"/>
        </w:rPr>
      </w:pPr>
      <w:r w:rsidRPr="007C4C86">
        <w:rPr>
          <w:rFonts w:asciiTheme="majorHAnsi" w:eastAsia="Times New Roman" w:hAnsiTheme="majorHAnsi" w:cstheme="majorHAnsi"/>
          <w:color w:val="242933"/>
          <w:kern w:val="0"/>
          <w:sz w:val="24"/>
          <w:szCs w:val="24"/>
          <w:lang w:eastAsia="it-IT"/>
          <w14:ligatures w14:val="none"/>
        </w:rPr>
        <w:t> </w:t>
      </w:r>
    </w:p>
    <w:p w14:paraId="39402539" w14:textId="7A23851D" w:rsidR="007C4C86" w:rsidRPr="007C4C86" w:rsidRDefault="007C4C86" w:rsidP="007C4C86">
      <w:pPr>
        <w:shd w:val="clear" w:color="auto" w:fill="FFFFFF"/>
        <w:spacing w:after="0" w:line="360" w:lineRule="atLeast"/>
        <w:textAlignment w:val="baseline"/>
        <w:rPr>
          <w:rFonts w:asciiTheme="majorHAnsi" w:eastAsia="Times New Roman" w:hAnsiTheme="majorHAnsi" w:cstheme="majorHAnsi"/>
          <w:color w:val="242933"/>
          <w:kern w:val="0"/>
          <w:sz w:val="24"/>
          <w:szCs w:val="24"/>
          <w:lang w:eastAsia="it-IT"/>
          <w14:ligatures w14:val="none"/>
        </w:rPr>
      </w:pPr>
      <w:r w:rsidRPr="007C4C86">
        <w:rPr>
          <w:rFonts w:asciiTheme="majorHAnsi" w:eastAsia="Times New Roman" w:hAnsiTheme="majorHAnsi" w:cstheme="majorHAnsi"/>
          <w:color w:val="242933"/>
          <w:kern w:val="0"/>
          <w:sz w:val="24"/>
          <w:szCs w:val="24"/>
          <w:lang w:eastAsia="it-IT"/>
          <w14:ligatures w14:val="none"/>
        </w:rPr>
        <w:t xml:space="preserve">La Scuola Paritaria </w:t>
      </w:r>
      <w:r w:rsidR="00B92708">
        <w:rPr>
          <w:rFonts w:asciiTheme="majorHAnsi" w:eastAsia="Times New Roman" w:hAnsiTheme="majorHAnsi" w:cstheme="majorHAnsi"/>
          <w:color w:val="242933"/>
          <w:kern w:val="0"/>
          <w:sz w:val="24"/>
          <w:szCs w:val="24"/>
          <w:lang w:eastAsia="it-IT"/>
          <w14:ligatures w14:val="none"/>
        </w:rPr>
        <w:t xml:space="preserve">Secondaria di I° S. Angela </w:t>
      </w:r>
      <w:r w:rsidRPr="007C4C86">
        <w:rPr>
          <w:rFonts w:asciiTheme="majorHAnsi" w:eastAsia="Times New Roman" w:hAnsiTheme="majorHAnsi" w:cstheme="majorHAnsi"/>
          <w:color w:val="242933"/>
          <w:kern w:val="0"/>
          <w:sz w:val="24"/>
          <w:szCs w:val="24"/>
          <w:lang w:eastAsia="it-IT"/>
          <w14:ligatures w14:val="none"/>
        </w:rPr>
        <w:t>ha aderito all’Avviso AOOGABMI prot. n. 0130341 del 09-11-2023 – </w:t>
      </w:r>
      <w:r w:rsidRPr="007C4C86">
        <w:rPr>
          <w:rFonts w:asciiTheme="majorHAnsi" w:eastAsia="Times New Roman" w:hAnsiTheme="majorHAnsi" w:cstheme="majorHAnsi"/>
          <w:b/>
          <w:bCs/>
          <w:color w:val="242933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Competenze STEM e multilinguistiche nelle scuole paritarie non commerciali</w:t>
      </w:r>
      <w:r w:rsidRPr="007C4C86">
        <w:rPr>
          <w:rFonts w:asciiTheme="majorHAnsi" w:eastAsia="Times New Roman" w:hAnsiTheme="majorHAnsi" w:cstheme="majorHAnsi"/>
          <w:color w:val="242933"/>
          <w:kern w:val="0"/>
          <w:sz w:val="24"/>
          <w:szCs w:val="24"/>
          <w:lang w:eastAsia="it-IT"/>
          <w14:ligatures w14:val="none"/>
        </w:rPr>
        <w:t> (D.M. 65/2023) presentando una serie di azioni formative riunite in un progetto pensato per realizzare, valorizzare e incrementare le cosiddette “competenze STEM e multilinguistiche” dei nostri studenti di tutte le età, concorrendo così a raggiungere uno degli obiettivi fondamentali di questo grande investimento che la UE ha messo in atto nei Paesi membri dopo gli sconvolgimenti provocati dalla pandemia.</w:t>
      </w:r>
    </w:p>
    <w:p w14:paraId="6CE0C85C" w14:textId="77777777" w:rsidR="007C4C86" w:rsidRPr="007C4C86" w:rsidRDefault="007C4C86" w:rsidP="007C4C86">
      <w:pPr>
        <w:shd w:val="clear" w:color="auto" w:fill="FFFFFF"/>
        <w:spacing w:after="0" w:line="360" w:lineRule="atLeast"/>
        <w:textAlignment w:val="baseline"/>
        <w:rPr>
          <w:rFonts w:asciiTheme="majorHAnsi" w:eastAsia="Times New Roman" w:hAnsiTheme="majorHAnsi" w:cstheme="majorHAnsi"/>
          <w:color w:val="242933"/>
          <w:kern w:val="0"/>
          <w:sz w:val="24"/>
          <w:szCs w:val="24"/>
          <w:lang w:eastAsia="it-IT"/>
          <w14:ligatures w14:val="none"/>
        </w:rPr>
      </w:pPr>
      <w:r w:rsidRPr="007C4C86">
        <w:rPr>
          <w:rFonts w:asciiTheme="majorHAnsi" w:eastAsia="Times New Roman" w:hAnsiTheme="majorHAnsi" w:cstheme="majorHAnsi"/>
          <w:color w:val="242933"/>
          <w:kern w:val="0"/>
          <w:sz w:val="24"/>
          <w:szCs w:val="24"/>
          <w:lang w:eastAsia="it-IT"/>
          <w14:ligatures w14:val="none"/>
        </w:rPr>
        <w:t>Riferimento:</w:t>
      </w:r>
    </w:p>
    <w:p w14:paraId="06735B4D" w14:textId="77777777" w:rsidR="007C4C86" w:rsidRPr="007C4C86" w:rsidRDefault="007C4C86" w:rsidP="007C4C86">
      <w:pPr>
        <w:shd w:val="clear" w:color="auto" w:fill="FFFFFF"/>
        <w:spacing w:after="0" w:line="360" w:lineRule="atLeast"/>
        <w:textAlignment w:val="baseline"/>
        <w:rPr>
          <w:rFonts w:asciiTheme="majorHAnsi" w:eastAsia="Times New Roman" w:hAnsiTheme="majorHAnsi" w:cstheme="majorHAnsi"/>
          <w:color w:val="242933"/>
          <w:kern w:val="0"/>
          <w:sz w:val="24"/>
          <w:szCs w:val="24"/>
          <w:lang w:eastAsia="it-IT"/>
          <w14:ligatures w14:val="none"/>
        </w:rPr>
      </w:pPr>
      <w:r w:rsidRPr="007C4C86">
        <w:rPr>
          <w:rFonts w:asciiTheme="majorHAnsi" w:eastAsia="Times New Roman" w:hAnsiTheme="majorHAnsi" w:cstheme="majorHAnsi"/>
          <w:color w:val="242933"/>
          <w:kern w:val="0"/>
          <w:sz w:val="24"/>
          <w:szCs w:val="24"/>
          <w:lang w:eastAsia="it-IT"/>
          <w14:ligatures w14:val="none"/>
        </w:rPr>
        <w:t>Piano Nazionale di Ripresa e Resilienza (PNRR) – Missione 4 – Componente 1 – Investimento 3.1 “Nuove competenze e nuovi linguaggi” – Azioni di potenziamento delle competenze STEM e multilinguistiche (D.M. 65/2023), finanziato dall’Unione europea – Next Generation EU</w:t>
      </w:r>
    </w:p>
    <w:p w14:paraId="4F7D91E1" w14:textId="6B2B391E" w:rsidR="003B640B" w:rsidRDefault="00013C2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3B1DB2" wp14:editId="2A6B3F72">
                <wp:simplePos x="0" y="0"/>
                <wp:positionH relativeFrom="column">
                  <wp:posOffset>1992630</wp:posOffset>
                </wp:positionH>
                <wp:positionV relativeFrom="paragraph">
                  <wp:posOffset>205105</wp:posOffset>
                </wp:positionV>
                <wp:extent cx="1874520" cy="312420"/>
                <wp:effectExtent l="0" t="0" r="11430" b="11430"/>
                <wp:wrapNone/>
                <wp:docPr id="163748740" name="Rettangolo con angoli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4520" cy="3124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59B46B" w14:textId="5FE6496E" w:rsidR="008B1CD3" w:rsidRDefault="008B1CD3" w:rsidP="008B1CD3">
                            <w:pPr>
                              <w:jc w:val="center"/>
                            </w:pPr>
                            <w:r>
                              <w:t>PER APPROFONDIRE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3B1DB2" id="Rettangolo con angoli arrotondati 1" o:spid="_x0000_s1026" style="position:absolute;margin-left:156.9pt;margin-top:16.15pt;width:147.6pt;height:24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" fillcolor="#4472c4 [3204]" strokecolor="#09101d [484]" strokeweight="1pt">
                <v:stroke joinstyle="miter"/>
                <v:textbox>
                  <w:txbxContent>
                    <w:p w14:paraId="3659B46B" w14:textId="5FE6496E" w:rsidR="008B1CD3" w:rsidRDefault="008B1CD3" w:rsidP="008B1CD3">
                      <w:pPr>
                        <w:jc w:val="center"/>
                      </w:pPr>
                      <w:r>
                        <w:t>PER APPROFONDIRE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BA5C393" w14:textId="77777777" w:rsidR="00D079CF" w:rsidRDefault="00D079CF"/>
    <w:p w14:paraId="0CE51368" w14:textId="77777777" w:rsidR="00D079CF" w:rsidRDefault="00D079CF"/>
    <w:p w14:paraId="5381CB71" w14:textId="77777777" w:rsidR="00431A07" w:rsidRPr="00431A07" w:rsidRDefault="00431A07" w:rsidP="00431A07">
      <w:r w:rsidRPr="00431A07">
        <w:t>L’avviso pubblico prot. n. 130341 del 9 novembre 2023 si inserisce all’interno dell’investimento “</w:t>
      </w:r>
      <w:hyperlink r:id="rId5" w:tooltip="Nuove competenze e nuovi linguaggi" w:history="1">
        <w:r w:rsidRPr="00431A07">
          <w:rPr>
            <w:rStyle w:val="Collegamentoipertestuale"/>
          </w:rPr>
          <w:t>Nuove competenze e nuovi linguaggi</w:t>
        </w:r>
      </w:hyperlink>
      <w:r w:rsidRPr="00431A07">
        <w:t>” per la promozione di azioni di formazione per il potenziamento delle competenze nelle discipline STEM (Scienze, Tecnologia, Ingegneria e Matematica) e multilinguistiche, in attuazione di quanto previsto dal decreto del Ministro dell’istruzione e del merito 12 aprile 2023, n. 65.</w:t>
      </w:r>
    </w:p>
    <w:p w14:paraId="35668139" w14:textId="77777777" w:rsidR="00431A07" w:rsidRPr="00431A07" w:rsidRDefault="00431A07" w:rsidP="00431A07">
      <w:r w:rsidRPr="00431A07">
        <w:t>Le scuole paritarie non commerciali del primo e del secondo ciclo potranno utilizzare il finanziamento per la realizzazione di percorsi didattici, formativi e di orientamento per studentesse e studenti per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STEM. Con dette risorse potranno essere organizzati anche percorsi formativi di lingua e di metodologia di durata annuale, finalizzati al potenziamento delle competenze linguistiche dei docenti in servizio e al miglioramento delle loro competenze metodologiche di insegnamento.</w:t>
      </w:r>
    </w:p>
    <w:p w14:paraId="38784A04" w14:textId="77777777" w:rsidR="00431A07" w:rsidRPr="00431A07" w:rsidRDefault="00431A07" w:rsidP="00431A07">
      <w:r w:rsidRPr="00431A07">
        <w:t>Gli enti gestori delle scuole paritarie non commerciali del primo e del secondo ciclo potranno presentare la loro candidatura sulla piattaforma ministeriale dedicata, “Futura PNRR – Gestione Progetti”, dalle ore 15,00 del 15 novembre 2023 ed entro le ore 15,00 del giorno 15 dicembre 2023.</w:t>
      </w:r>
    </w:p>
    <w:p w14:paraId="24032B3C" w14:textId="77777777" w:rsidR="00431A07" w:rsidRDefault="00431A07"/>
    <w:p w14:paraId="61068AB9" w14:textId="4ADD0922" w:rsidR="00431A07" w:rsidRDefault="00000000">
      <w:hyperlink r:id="rId6" w:tgtFrame="_blank" w:tooltip="Avviso pubblico prot. n. 130341 del 9 novembre 2023" w:history="1">
        <w:r w:rsidR="00431A07" w:rsidRPr="00B92708">
          <w:rPr>
            <w:rStyle w:val="Collegamentoipertestuale"/>
            <w:b/>
            <w:bCs/>
            <w:color w:val="0000FF"/>
          </w:rPr>
          <w:t>Avviso pubblico prot. n. 130341 del 9 novembre 2023</w:t>
        </w:r>
      </w:hyperlink>
      <w:r w:rsidR="00431A07">
        <w:t xml:space="preserve">  </w:t>
      </w:r>
    </w:p>
    <w:p w14:paraId="485A289C" w14:textId="7635D6F5" w:rsidR="00431A07" w:rsidRDefault="00431A07">
      <w:r>
        <w:t>Cliccando sul quale si apre l’avviso…</w:t>
      </w:r>
    </w:p>
    <w:p w14:paraId="79685F16" w14:textId="77777777" w:rsidR="00431A07" w:rsidRDefault="00431A07"/>
    <w:p w14:paraId="6131D08D" w14:textId="77777777" w:rsidR="00431A07" w:rsidRDefault="00431A07"/>
    <w:p w14:paraId="696A2F90" w14:textId="77777777" w:rsidR="00AF685B" w:rsidRDefault="00AF685B" w:rsidP="00431A07"/>
    <w:p w14:paraId="519300BF" w14:textId="57B8D903" w:rsidR="00431A07" w:rsidRPr="00431A07" w:rsidRDefault="007E4651" w:rsidP="00431A07">
      <w:pPr>
        <w:rPr>
          <w:b/>
          <w:bCs/>
          <w:i/>
          <w:iCs/>
          <w:color w:val="0000FF"/>
        </w:rPr>
      </w:pPr>
      <w:r>
        <w:lastRenderedPageBreak/>
        <w:t xml:space="preserve">Progetto: </w:t>
      </w:r>
      <w:r w:rsidRPr="00431A07">
        <w:rPr>
          <w:b/>
          <w:bCs/>
          <w:i/>
          <w:iCs/>
          <w:color w:val="0000FF"/>
        </w:rPr>
        <w:t>STEM4EU! Le quattro discipline STEM e la lingua inglese per formare cittadini EU di domani</w:t>
      </w:r>
    </w:p>
    <w:p w14:paraId="011732A3" w14:textId="5B43F70C" w:rsidR="00431A07" w:rsidRPr="00431A07" w:rsidRDefault="00431A07" w:rsidP="00584C31">
      <w:pPr>
        <w:pStyle w:val="Paragrafoelenco"/>
        <w:numPr>
          <w:ilvl w:val="0"/>
          <w:numId w:val="2"/>
        </w:numPr>
        <w:spacing w:after="0" w:line="0" w:lineRule="atLeast"/>
        <w:ind w:left="714" w:hanging="357"/>
        <w:jc w:val="both"/>
        <w:rPr>
          <w:rFonts w:eastAsia="Calibri" w:cstheme="minorHAnsi"/>
        </w:rPr>
      </w:pPr>
      <w:r w:rsidRPr="00431A07">
        <w:rPr>
          <w:rFonts w:eastAsia="Calibri" w:cstheme="minorHAnsi"/>
          <w:b/>
          <w:bCs/>
        </w:rPr>
        <w:t xml:space="preserve">Scuola capofila: </w:t>
      </w:r>
      <w:r w:rsidRPr="00431A07">
        <w:rPr>
          <w:rFonts w:cstheme="minorHAnsi"/>
          <w:i/>
          <w:iCs/>
          <w:color w:val="212529"/>
        </w:rPr>
        <w:t>SCUOLA SEC.1°GRADO "S. ANGELA"</w:t>
      </w:r>
      <w:r w:rsidRPr="00431A07">
        <w:rPr>
          <w:rFonts w:eastAsia="Calibri" w:cstheme="minorHAnsi"/>
          <w:i/>
          <w:iCs/>
        </w:rPr>
        <w:t xml:space="preserve"> -COD MEC- </w:t>
      </w:r>
      <w:r w:rsidRPr="00431A07">
        <w:rPr>
          <w:rFonts w:cstheme="minorHAnsi"/>
          <w:i/>
          <w:iCs/>
          <w:color w:val="212529"/>
        </w:rPr>
        <w:t>BG1M002002</w:t>
      </w:r>
    </w:p>
    <w:p w14:paraId="3EBF254A" w14:textId="53216110" w:rsidR="00431A07" w:rsidRPr="00431A07" w:rsidRDefault="00431A07" w:rsidP="00584C31">
      <w:pPr>
        <w:numPr>
          <w:ilvl w:val="0"/>
          <w:numId w:val="2"/>
        </w:numPr>
        <w:spacing w:after="0" w:line="0" w:lineRule="atLeast"/>
        <w:ind w:left="714" w:hanging="357"/>
      </w:pPr>
      <w:r w:rsidRPr="00431A07">
        <w:rPr>
          <w:b/>
          <w:bCs/>
        </w:rPr>
        <w:t xml:space="preserve">Ente gestore: </w:t>
      </w:r>
      <w:r w:rsidRPr="00431A07">
        <w:rPr>
          <w:i/>
          <w:iCs/>
        </w:rPr>
        <w:t>ISTITUTO SUORE ORSOLINE DI M.V.I. di GANDINO</w:t>
      </w:r>
    </w:p>
    <w:p w14:paraId="31458AF9" w14:textId="0044B8A2" w:rsidR="00431A07" w:rsidRPr="00584C31" w:rsidRDefault="00431A07" w:rsidP="00584C31">
      <w:pPr>
        <w:pStyle w:val="Paragrafoelenco"/>
        <w:numPr>
          <w:ilvl w:val="0"/>
          <w:numId w:val="2"/>
        </w:numPr>
        <w:spacing w:after="0" w:line="0" w:lineRule="atLeast"/>
        <w:ind w:left="714" w:hanging="357"/>
        <w:jc w:val="both"/>
        <w:rPr>
          <w:rFonts w:eastAsia="Calibri" w:cstheme="minorHAnsi"/>
        </w:rPr>
      </w:pPr>
      <w:r w:rsidRPr="00431A07">
        <w:rPr>
          <w:rFonts w:eastAsia="Calibri" w:cstheme="minorHAnsi"/>
          <w:b/>
          <w:bCs/>
        </w:rPr>
        <w:t>Codice locale di progetto</w:t>
      </w:r>
      <w:r w:rsidRPr="00431A07">
        <w:rPr>
          <w:rFonts w:eastAsia="Calibri" w:cstheme="minorHAnsi"/>
        </w:rPr>
        <w:t xml:space="preserve">: </w:t>
      </w:r>
      <w:r w:rsidRPr="00431A07">
        <w:rPr>
          <w:rFonts w:cstheme="minorHAnsi"/>
          <w:i/>
          <w:iCs/>
        </w:rPr>
        <w:t>M4C1I3.1-2023-1202-P-35732</w:t>
      </w:r>
    </w:p>
    <w:p w14:paraId="73D0BF1A" w14:textId="50D47896" w:rsidR="00431A07" w:rsidRPr="00584C31" w:rsidRDefault="00431A07" w:rsidP="00584C31">
      <w:pPr>
        <w:pStyle w:val="Paragrafoelenco"/>
        <w:numPr>
          <w:ilvl w:val="0"/>
          <w:numId w:val="2"/>
        </w:numPr>
        <w:spacing w:before="120" w:after="120" w:line="0" w:lineRule="atLeast"/>
        <w:ind w:left="714" w:hanging="357"/>
        <w:jc w:val="both"/>
        <w:rPr>
          <w:rFonts w:eastAsia="Calibri" w:cstheme="minorHAnsi"/>
        </w:rPr>
      </w:pPr>
      <w:r w:rsidRPr="00431A07">
        <w:rPr>
          <w:rFonts w:eastAsia="Calibri" w:cstheme="minorHAnsi"/>
          <w:b/>
          <w:bCs/>
        </w:rPr>
        <w:t>Codice CUP di progetto</w:t>
      </w:r>
      <w:r w:rsidRPr="00431A07">
        <w:rPr>
          <w:rFonts w:eastAsia="Calibri" w:cstheme="minorHAnsi"/>
        </w:rPr>
        <w:t xml:space="preserve">: </w:t>
      </w:r>
      <w:r w:rsidRPr="00431A07">
        <w:rPr>
          <w:rFonts w:cstheme="minorHAnsi"/>
          <w:i/>
          <w:iCs/>
        </w:rPr>
        <w:t>G54D23003670006</w:t>
      </w:r>
    </w:p>
    <w:p w14:paraId="6A5C590A" w14:textId="31F32C19" w:rsidR="00431A07" w:rsidRPr="00431A07" w:rsidRDefault="00431A07" w:rsidP="00584C31">
      <w:pPr>
        <w:pStyle w:val="Paragrafoelenco"/>
        <w:numPr>
          <w:ilvl w:val="0"/>
          <w:numId w:val="2"/>
        </w:numPr>
        <w:spacing w:before="120" w:after="120" w:line="0" w:lineRule="atLeast"/>
        <w:ind w:left="714" w:hanging="357"/>
        <w:jc w:val="both"/>
        <w:rPr>
          <w:rFonts w:eastAsia="Calibri" w:cstheme="minorHAnsi"/>
          <w:b/>
          <w:bCs/>
        </w:rPr>
      </w:pPr>
      <w:r w:rsidRPr="00431A07">
        <w:rPr>
          <w:rFonts w:eastAsia="Calibri" w:cstheme="minorHAnsi"/>
          <w:b/>
          <w:bCs/>
        </w:rPr>
        <w:t>Valore finanziato</w:t>
      </w:r>
      <w:r>
        <w:rPr>
          <w:rFonts w:eastAsia="Calibri" w:cstheme="minorHAnsi"/>
          <w:b/>
          <w:bCs/>
        </w:rPr>
        <w:t xml:space="preserve">: </w:t>
      </w:r>
      <w:r w:rsidR="00584C31" w:rsidRPr="00584C31">
        <w:rPr>
          <w:rFonts w:eastAsia="Calibri" w:cstheme="minorHAnsi"/>
          <w:b/>
          <w:bCs/>
        </w:rPr>
        <w:t>84.723,42</w:t>
      </w:r>
    </w:p>
    <w:p w14:paraId="40FF6279" w14:textId="0F907DE0" w:rsidR="00431A07" w:rsidRPr="007E4651" w:rsidRDefault="00431A07" w:rsidP="00431A07">
      <w:pPr>
        <w:pStyle w:val="Paragrafoelenco"/>
      </w:pPr>
    </w:p>
    <w:sectPr w:rsidR="00431A07" w:rsidRPr="007E46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E6B81"/>
    <w:multiLevelType w:val="multilevel"/>
    <w:tmpl w:val="0BCE2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663CCA"/>
    <w:multiLevelType w:val="hybridMultilevel"/>
    <w:tmpl w:val="A40628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221302">
    <w:abstractNumId w:val="0"/>
  </w:num>
  <w:num w:numId="2" w16cid:durableId="1384526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456"/>
    <w:rsid w:val="00013C27"/>
    <w:rsid w:val="003B640B"/>
    <w:rsid w:val="003C513C"/>
    <w:rsid w:val="00422D58"/>
    <w:rsid w:val="00431A07"/>
    <w:rsid w:val="00523456"/>
    <w:rsid w:val="00584C31"/>
    <w:rsid w:val="007C4C86"/>
    <w:rsid w:val="007E4651"/>
    <w:rsid w:val="00887E46"/>
    <w:rsid w:val="008B1CD3"/>
    <w:rsid w:val="00AC693A"/>
    <w:rsid w:val="00AF685B"/>
    <w:rsid w:val="00B92708"/>
    <w:rsid w:val="00BB312E"/>
    <w:rsid w:val="00D079CF"/>
    <w:rsid w:val="00EB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23F6A"/>
  <w15:chartTrackingRefBased/>
  <w15:docId w15:val="{A8FAB826-2141-4F73-AFAD-09E765375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079C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31A0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31A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2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9342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5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409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5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0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3496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5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1561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2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3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1126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64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98560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6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3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7072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33350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nrr.istruzione.it/wp-content/uploads/2023/11/AVVISO-STEM-SCUOLE-PARITARIE-U.0130341.09-11-2023.pdf" TargetMode="External"/><Relationship Id="rId5" Type="http://schemas.openxmlformats.org/officeDocument/2006/relationships/hyperlink" Target="https://pnrr.istruzione.it/competenze/nuove-competenze-e-nuovi-linguagg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Bosio</dc:creator>
  <cp:keywords/>
  <dc:description/>
  <cp:lastModifiedBy>Silvia Bosio</cp:lastModifiedBy>
  <cp:revision>14</cp:revision>
  <dcterms:created xsi:type="dcterms:W3CDTF">2024-09-06T09:41:00Z</dcterms:created>
  <dcterms:modified xsi:type="dcterms:W3CDTF">2024-09-06T13:26:00Z</dcterms:modified>
</cp:coreProperties>
</file>